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65pt;height:725.75pt">
            <v:imagedata r:id="rId7" o:title="9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нормативной базы: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29.12.2012 г., № 273-ФЗ «Об образовании Российской Федерации»; 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N 1994, от 01.02.2012 N 74)</w:t>
      </w:r>
    </w:p>
    <w:p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Минобрнауки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уч. год» с изменениями, внесенными:</w:t>
      </w:r>
    </w:p>
    <w:p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Минобрнауки России от 8 июня 2015 года № 576; </w:t>
      </w:r>
      <w:r>
        <w:rPr>
          <w:rFonts w:ascii="Times New Roman" w:hAnsi="Times New Roman"/>
          <w:sz w:val="28"/>
          <w:szCs w:val="28"/>
        </w:rPr>
        <w:br/>
        <w:t xml:space="preserve">приказом Минобрнауки России от 28 декабря 2015 года № 1529; </w:t>
      </w:r>
      <w:r>
        <w:rPr>
          <w:rFonts w:ascii="Times New Roman" w:hAnsi="Times New Roman"/>
          <w:sz w:val="28"/>
          <w:szCs w:val="28"/>
        </w:rPr>
        <w:br/>
        <w:t xml:space="preserve">приказом Минобрнауки России от 26 января 2016 года № 38. </w:t>
      </w:r>
    </w:p>
    <w:p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21 апреля 2016 года № 459</w:t>
      </w:r>
    </w:p>
    <w:p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Минобрнауки России от 29 декабря 2016 года № 1677 </w:t>
      </w:r>
    </w:p>
    <w:p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Минобрнауки России от 26 января 2017 года № 15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Письмо МО  РО  от 24.04.2018 г.,  № 24/4.1-5705 «Рекомендации по составлению  учебного плана образовательных организаций, реализующих программы общего образования, расположенных на территории РО на 2018-2019 уч. год»;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кадетского корпуса на 2018-2019 учебный год;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Авторская программы по курсу «Основы безопасности жизнедеятельности» для 5–9 классов общеобразовательных учреждений (авторы программы – А. Т. Смирнов, Б. О. Хренников, М. А. Маслов, В. А. Васнев), по сборнику «Программы общеобразовательных учреждений. Основы безопасности. 1–11 классы» / под общ. ред. А. Т. Смирнова. – М.: Просвещение, 2010.</w:t>
      </w:r>
    </w:p>
    <w:p>
      <w:pPr>
        <w:numPr>
          <w:ilvl w:val="0"/>
          <w:numId w:val="6"/>
        </w:num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жизнедеятельности. 9 класс». Учебник для общеобразовательных учреждений/ А.Т. Смирнов, Б.О. Хренников, М., издательство «Просвещение», 2014 г.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ОБЖ соответствует положениям Федерального государственного образовательного стандарта основного общего образования, 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основам безопасности жизнедеятельности для основной школы. Программа отражает идеи и положения Концепции духовно-нравственного развития и воспитания личности гражданина России, Программы 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требованиям к структуре программ, заявленным в ФГОС.</w:t>
      </w:r>
    </w:p>
    <w:p>
      <w:pPr>
        <w:tabs>
          <w:tab w:val="left" w:pos="154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курса: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знаний об опасных и чрезвычайных ситуациях;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влиянии их последствий на безопасность личности, общества и государства;  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426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системе обеспечения защиты населения от чрезвычайных    ситуаций;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подготовки населения к действиям в  условиях  опасных и  чрезвычайных  ситуаций;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здоровом  образе жизни;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первой медицинской помощи при неотложных состояниях;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 и обязанностях граждан в области безопасности жизнедеятельности;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умений предвидеть возникновение опасных  ситуаций по характерным признакам их появления, а также на основе анализа специальной информации, получаемой из  различных источников; </w:t>
      </w:r>
    </w:p>
    <w:p>
      <w:pPr>
        <w:numPr>
          <w:ilvl w:val="0"/>
          <w:numId w:val="5"/>
        </w:numPr>
        <w:tabs>
          <w:tab w:val="left" w:pos="567"/>
        </w:tabs>
        <w:spacing w:after="100" w:afterAutospacing="1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возможностей;</w:t>
      </w:r>
    </w:p>
    <w:p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антитеррористического поведения, отрицательного отношения к приему психоактивных веществ, в том числе наркотиков;</w:t>
      </w:r>
    </w:p>
    <w:p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профилактики асоциального поведения учащихся.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курса: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ответственного отношения к окружающей природ</w:t>
      </w:r>
      <w:r>
        <w:rPr>
          <w:rFonts w:ascii="Times New Roman" w:hAnsi="Times New Roman" w:cs="Times New Roman"/>
          <w:sz w:val="28"/>
          <w:szCs w:val="28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личных духовных и физических качеств, обеспечива</w:t>
      </w:r>
      <w:r>
        <w:rPr>
          <w:rFonts w:ascii="Times New Roman" w:hAnsi="Times New Roman" w:cs="Times New Roman"/>
          <w:sz w:val="28"/>
          <w:szCs w:val="28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>
        <w:rPr>
          <w:rFonts w:ascii="Times New Roman" w:hAnsi="Times New Roman" w:cs="Times New Roman"/>
          <w:sz w:val="28"/>
          <w:szCs w:val="28"/>
        </w:rPr>
        <w:softHyphen/>
        <w:t>тие потребности соблюдать нормы здорового образа жизни; подго</w:t>
      </w:r>
      <w:r>
        <w:rPr>
          <w:rFonts w:ascii="Times New Roman" w:hAnsi="Times New Roman" w:cs="Times New Roman"/>
          <w:sz w:val="28"/>
          <w:szCs w:val="28"/>
        </w:rPr>
        <w:softHyphen/>
        <w:t>товку к выполнению требований, предъявляемых к гражданину Рос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в области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знаний: об опасных и чрезвычайных ситуациях, о влиянии их последствий на безопасность личности, общества и го</w:t>
      </w:r>
      <w:r>
        <w:rPr>
          <w:rFonts w:ascii="Times New Roman" w:hAnsi="Times New Roman" w:cs="Times New Roman"/>
          <w:sz w:val="28"/>
          <w:szCs w:val="28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>
        <w:rPr>
          <w:rFonts w:ascii="Times New Roman" w:hAnsi="Times New Roman" w:cs="Times New Roman"/>
          <w:sz w:val="28"/>
          <w:szCs w:val="28"/>
        </w:rPr>
        <w:softHyphen/>
        <w:t>вом образе жизни; об оказании первой медицинской помощи при не</w:t>
      </w:r>
      <w:r>
        <w:rPr>
          <w:rFonts w:ascii="Times New Roman" w:hAnsi="Times New Roman" w:cs="Times New Roman"/>
          <w:sz w:val="28"/>
          <w:szCs w:val="28"/>
        </w:rPr>
        <w:softHyphen/>
        <w:t>отложных состояниях; о правах и обязанностях граждан в области бе</w:t>
      </w:r>
      <w:r>
        <w:rPr>
          <w:rFonts w:ascii="Times New Roman" w:hAnsi="Times New Roman" w:cs="Times New Roman"/>
          <w:sz w:val="28"/>
          <w:szCs w:val="28"/>
        </w:rPr>
        <w:softHyphen/>
        <w:t>зопасности жизнедеятельности;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>
        <w:rPr>
          <w:rFonts w:ascii="Times New Roman" w:hAnsi="Times New Roman" w:cs="Times New Roman"/>
          <w:sz w:val="28"/>
          <w:szCs w:val="28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>
        <w:rPr>
          <w:rFonts w:ascii="Times New Roman" w:hAnsi="Times New Roman" w:cs="Times New Roman"/>
          <w:sz w:val="28"/>
          <w:szCs w:val="28"/>
        </w:rPr>
        <w:softHyphen/>
        <w:t>ной обстановки и своих возможностей.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учебного предмета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базисным учебным планом общеобразовательных учреждений Российской Федерации на этапе основного общего образования на его изучение выделяется 34 часов, из расчета 1 час в неделю.</w:t>
      </w:r>
    </w:p>
    <w:p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расписанию кадетского корпуса программа рассчитана на 34 учебных часа, из расчета 1 час в неделю.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УРОВНЮ ПОДГОТОВКИ КАДЕТ: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угроза национальным интересам и безопасность России, и формирование общей культуры в области безопасность жизнедеятельности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предназначение, структуру и задачи РСЧС;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сохранения и укрепления репродуктивного здоровья;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медицинской помощи при массовых поражениях.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владеть способами защиты населения от чрезвычайных ситуаций природного и техногенного характера;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пользоваться средствами индивидуальной и коллективной защиты;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действовать при угрозе или возникновении террористического акта..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ведения здорового образа жизни;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оказания первой медицинской помощи;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развития в себе духовных и физических качеств, необходимых для трудовой деятельности;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вызова (обращения за помощью) в случае необходимости в соответствующие службы экстренной помощи.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ПРОГРАММЫ: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I. Основы безопасности личности, общества и государства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I. Основы комплексной безопасности.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Характеристика содержания раздела: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Россия в мировом сообществе и ее национальные интересы в современном мире.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угроза национальным интересам и безопасность России. Формирование общей культуры в области безопасность жизнедеятельности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ситуации, общие понятия и определения, их классификация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Чрезвычайные ситуации природного характера, их причины и последствия.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Чрезвычайные ситуации техногенного характера, их причины и последствия.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Военная угроза национальной безопасности России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Международный терроризм – угроза национальной безопасность России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Наркотизм и национальная безопасность России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Планируемые  результаты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Учебно-познавательная.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внешними и внутренними угрозами национальной безопасности России. Знать основные проявления и опасности международного терроризма и наркотизма. Знать систему защиты населения от чрезвычайных ситуаций социального характера в Российской Федерации. Научиться действовать безопасно в условиях чрезвычайных ситуаций социального характера. Выбирать наиболее эффективный способ предотвращения опасной ситуации в быту. Находить информацию об экологической обстановке в местах проживания и возможных опасных ситуациях в области экологии. Оценить состояние окружающей среды. Знать перечень мероприятий, проводимых по защите здоровья населения в местах с неблагоприятной экологической обстановкой. Знать правила безопасного поведения на улице, дома, в общественном месте. Знать духовно-нравственные основы антитеррористического поведения в повседневной жизни. Знакомиться с видами террористических актов и их последствиями. Знать правила поведения при захвате в заложники или похищении. Знать признаки возможного возникновения взрыва. Изучать правила безопасного поведения во время взрыва. Изучать правила безопасного поведения во время захвата самолета и при перестрелке.Описывать виды террористических актов, их цели и способы осуществления. Знакомиться с законодательной и нормативно-правовой базой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организации борьбы с терроризмом в Российской Федерации. Раскрывать понятие «контртеррористическая опе- рация». Приводить примеры применения Вооруженных сил в борьбе с терроризмом. Знакомиться с государственной политикой противодействия наркотизму. Объяснять последствия наркомании и ее влияние на национальную безопасность России. 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II. Защита населения от чрезвычайных ситуаций.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Характеристика содержания раздела: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Единая система предупреждения и ликвидации чрезвычайных ситуаций (РСЧС)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как составная часть национальной безопасности и обороноспособности страны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МЧС России – федеральный орган управления в области защиты населения и территорий от чрезвычайных ситуаций.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Планируемые  результаты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Знакомиться с правовыми основами обеспечения защиты населения страны от чрезвычайных ситуаций, с основными мероприятиями, проводимыми в Российской Федерации по защите населения от чрезвычайных ситуаций. Знакомиться с организационными основами по защите населения от чрезвычайных ситуаций в Российской Федерации. Изучать основные мероприятия, проводимые в Российской Федерации по защите населения от чрезвычайных ситуаций. Изучать правила оповещения и эвакуации населения и правила использования средств защиты.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права и обязанности граждан в области безопасности жизнедеятельности в случае возникновения чрезвычайных ситуаций.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Отработать действия по сигналам оповещения о возникновении чрезвычайных ситуаций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Раздел- III. Основы противодействия терроризму и экстремизму в Российской Федерации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Характеристика содержания раздела: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борьбы с терроризмом и наркобизнесом в Российской Федерации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Нормативно-правая база борьбы с терроризмом и экстремизмом в Российской Федерации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Организационные основы системы противодействия терроризму и наркотизму в Российской Федерации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личной безопасности при угрозе теракта и профилактика наркозависимости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Планируемые  результаты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Знакомиться с нормативно- правовой базой борьбы с наркобизнесом.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Аналитическая.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 влияние человеческого фактора на последствия чрезвычайных ситуаций социального характера. Анализировать эффективность рекомендаций специалистов по безопасному поведению в условиях различных чрезвычайных ситуаций социального характера. Анализировать последствия опасных ситуаций в повседневной жизни и причины их возникновения.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Анализировать возможные последствия терактов. Анализировать свои возможности безопасного поведения. Анализировать и обсуждать эффективность мероприятий, к потреблению наркотиков проводимых в Российской Федерации, по борьбе с терроризмом и наркоманией.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Отрабатывать правила безопасного поведения в чрезвычайных ситуациях социального характера. Решать ситуационные задачи по правилам безопасного поведения в чрезвычайных ситуациях. Моделировать ситуации, требующие знания правил безопасного поведения. Вырабатывать алгоритм безопасного поведения в повседневной жизни для профилактики опасных ситуаций в быту.  Вырабатывать варианты своего поведения при угрозе возникновения теракта. Моделировать собственное поведение с целью противодействия вовлечению в террористическую деятельность и в наркозависимость. 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II. Основы медицинских знаний и здорового образа жизни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IV. Основы здорового образа жизни.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Характеристика содержания раздела: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Здоровый образ жизни и его составляющие. 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Репродуктивное здоровье населения – национальная безопасность России.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Ранние половые связи и их последствия.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семейного права в РФ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Брак и семья. Семья и здоровый образ жизни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Инфекции, передающиеся половым путем. Понятия о ВИЧ – инфекции и СПИДе.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Планируемые  результаты: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Учебно-познавательная.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Раскрывать особенности индивидуального здоровья, репродуктивного здоровья. Характеризовать социально- демографические процессы и сопоставлять их с безопасностью государства. Описывать составляющие здорового образа жизни. Изучать и знать обязанности и права несовершеннолетних. Формировать антитеррористическое поведение. Формировать потребности в соблюдении норм здорового образа жизни. Как способа сохранения и укрепления личного здоровья. Усваивать знания об основных факторах, разрушающих здоровье (вредные привычки, ранние половые связи); о последствиях для здоровья человека вредных привычек и ранних половых связей. Выявлять ситуации, потенциально опасные для здоровья. Знакомиться с основами семейного законодательства.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 Анализировать собственные поступки, негативно влияющие на здоровье, и формировать индивидуальную систему здорового образа жизни. Анализировать влияние внешних факторов и вредных привычек на состояние собственного здоровья.  Анализировать роль семьи в жизни личности и общества и ее влияние на здоровье человека.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Формировать индивидуальную систему здорового образа жизни (режим дня, программу закаливания, питания, взаимоотношений с окружающими и т. д.).Формулировать правила соблюдения норм здорового образа жизни и профилактику вредных привычек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V. Основы медицинских знаний и оказание первой медицинской помощи.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Характеристика содержания раздела: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Основы первой медицинской помощи</w:t>
      </w:r>
    </w:p>
    <w:p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медицинская помощь при передозировке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медицинская помощь при массовых поражениях</w:t>
      </w:r>
    </w:p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Планируемые  результаты: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Учебно-познавательная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 Знакомить с общей характеристикой различных повреждений и травм. Осваивать правила оказания первой медицинской помощи при различных видах повреждений. Знакомиться с неотложными состояниями, требующими оказания первой медицинской помощи. Учиться накладывать повязки, оказывать первую медицинскую помощь при отравлениях, ссадинах,  ушибах, порезах и т.д.Знакомиться с причинами массовых поражений людей в условиях природных, техногенных и социальных чрезвычайных ситуациях, с системой мер по защите населения в случае возникновения массовых поражений. Изучать мероприятия по оказанию первой медицинской помощи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Анализировать возможные последствия различных повреждений и травм. Анализировать возможные последствия неотложных состояний и значение своевременного оказания первой медицинской помощи. Анализировать возможные последствия массовых поражений и способы оказания первой медицинской помощи.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Отрабатывать основные приёмы оказания первой медицинской помощи. Отрабатывать приёмы оказания первой медицинской помощи при неотложных состояниях. Отрабатывать приёмы оказания первой медицинской помощи при массовых поражениях.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XSpec="center" w:tblpY="2205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878"/>
        <w:gridCol w:w="1538"/>
      </w:tblGrid>
      <w:tr>
        <w:trPr>
          <w:trHeight w:val="699"/>
        </w:trPr>
        <w:tc>
          <w:tcPr>
            <w:tcW w:w="1305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модуля, раздела, темы, урока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>
        <w:trPr>
          <w:trHeight w:val="162"/>
        </w:trPr>
        <w:tc>
          <w:tcPr>
            <w:tcW w:w="10721" w:type="dxa"/>
            <w:gridSpan w:val="3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 ЧЕТВЕРТЬ</w:t>
            </w:r>
          </w:p>
        </w:tc>
      </w:tr>
      <w:tr>
        <w:trPr>
          <w:trHeight w:val="16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безопасности личности, общества и государства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>
        <w:trPr>
          <w:trHeight w:val="16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комплексной безопасности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113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Национальная безопасность России в современном мире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в кабинете ОБЖ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1. Современный мир и Россия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3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2.  Диагностическая контрольная работа:  «Правила безопасного поведения в быту»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3. Национальные интересы России в современном мире. Основные угрозы национальным интересам и безопасности России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4. Влияние культуры безопасности жизнедеятельности населения и национальная безопасность России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Чрезвычайные ситуации мирного и военного времени и национальная безопасность России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5. Чрезвычайные ситуации и их классификация. Чрезвычайные ситуации природного характера и их последствия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3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6. Чрезвычайные ситуации техногенного характера и их причины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7. Угрозы военной безопасности России.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8. Контрольная работа:  «Национальная безопасность России в современном мире»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10721" w:type="dxa"/>
            <w:gridSpan w:val="3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ЧЕТВЕРТЬ</w:t>
            </w:r>
          </w:p>
        </w:tc>
      </w:tr>
      <w:tr>
        <w:trPr>
          <w:trHeight w:val="31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II. Защита населения Российской Федерации от чрезвычайных ситуаций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>
        <w:trPr>
          <w:trHeight w:val="31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9. Единая система предупреждения и ликвидации чрезвычайных ситуаций (РСЧС). 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3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10.  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11. 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 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03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12. Мониторинг и прогнозирование, оповещение и эвакуация населения при ЧС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13. Инженерная защита населения и территорий от ЧС.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14Аварийно-спасательные и другие неотложные работы в очагах поражения.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Урок 15. Контрольная работа: «Основы  защиты населения  от ЧС мирного и военного времени»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6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противодействия терроризму и экстремизму в Российской Федерации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16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Организация борьбы с терроризмом и наркобизнесом в Российской Федерации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68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16 Международный терроризм и экстремизм – угроза национальной безопасности России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68"/>
        </w:trPr>
        <w:tc>
          <w:tcPr>
            <w:tcW w:w="10721" w:type="dxa"/>
            <w:gridSpan w:val="3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ЧЕТВЕРТЬ</w:t>
            </w: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17. 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 Нормативно-правая база борьбы с терроризмом и экстремизмом в Российской Федерации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18. Основные нормативно-правовые акты по противодействию терроризму и экстремизму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8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19. Законодательная база Российской Федерации по противодействию терроризму и экстремизму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20. Нормативно-правовая база противодействия наркотизму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5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 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52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21. Организационные основы противодействия терроризму в Российской Федерации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22. Организационные основы противодействия наркотизму в Российской Федерации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Тема8. Обеспечение личной безопасности при угрозе теракта и профилактика наркозависимости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160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23. Правила поведения при угрозе террористического акта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60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24.Профилактика наркозависимости.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60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Урок25.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работа: «Современный комплекс проблем безопасности социального характера»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16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медицинских знаний и здорового образа жизни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16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Основы здорового образа жизни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16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 Здоровье – условие благополучия человека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10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Урок26. Здоровье человека – как индивидуальная, так и общественная ценность. Здоровый образ жизни и его составляющие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10"/>
        </w:trPr>
        <w:tc>
          <w:tcPr>
            <w:tcW w:w="10721" w:type="dxa"/>
            <w:gridSpan w:val="3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ЧЕТВЕРТЬ</w:t>
            </w:r>
          </w:p>
        </w:tc>
      </w:tr>
      <w:tr>
        <w:trPr>
          <w:trHeight w:val="250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Урок27. Репродуктивное здоровье населения и национальная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 России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250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10. Факторы, разрушающие репродуктивное здоровье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97"/>
        </w:trPr>
        <w:tc>
          <w:tcPr>
            <w:tcW w:w="130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Урок28. Ранние половые связи и их последствия. Инфекции, передаваемые половым путём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20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29.Понятие о ВИЧ-инфекции и СПИДе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20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11. Правовые основы сохранения и укрепления репродуктивного здоровья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0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30. Брак и семья. Семья и здоровый образ жизни человека. Основы семейного права в Российской Федерации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202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31.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Контрольная работа: «Основные понятия о ЗОЖ и факторы, влияющие на здоровье».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20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ind w:right="17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.Основы медицинских знаний и оказание первой   медицинской помощи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02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12.  Оказание первой медицинской помощи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69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32.  Первая медицинская помощь при массовых поражениях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69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33. Первая медицинская помощь при передозировке.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69"/>
        </w:trPr>
        <w:tc>
          <w:tcPr>
            <w:tcW w:w="1305" w:type="dxa"/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8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34. Итоговое занятие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69"/>
        </w:trPr>
        <w:tc>
          <w:tcPr>
            <w:tcW w:w="9183" w:type="dxa"/>
            <w:gridSpan w:val="2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38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ОЦЕНКИ ПЛАНИРУЕМЫХ РЕЗУЛЬТАТОВ.</w:t>
      </w:r>
    </w:p>
    <w:p>
      <w:pPr>
        <w:tabs>
          <w:tab w:val="right" w:pos="1020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Формы контроля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Текущий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и фронтального опроса, работы по карточкам. Большое внимание уделяется практическим работам. 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завершении крупного блока (темы) в форме тестирования, по опросному листу; 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завершении учебного материала за год в форме тестирования, теста по опросному листу.</w:t>
      </w:r>
    </w:p>
    <w:p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Виды контроля: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работы, самостоятельные работы,  тесты, устный опрос, практические работы – главная составляющая учебного процесса.</w:t>
      </w:r>
    </w:p>
    <w:p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 оценка знаний проходит в ходе текущих занятий в устной или письменной форме, при выполнении практических работ. Письменные работы проводятся по значимым вопросам темы или раздела курса ОБЖ.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кадет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</w:t>
      </w:r>
      <w:r>
        <w:rPr>
          <w:rFonts w:ascii="Times New Roman" w:hAnsi="Times New Roman" w:cs="Times New Roman"/>
          <w:sz w:val="28"/>
          <w:szCs w:val="28"/>
        </w:rPr>
        <w:lastRenderedPageBreak/>
        <w:t>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ответ кадета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кадет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кадет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Оценка «1»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кадет не может ответить ни на один из поставленных вопросов.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письменных контрольных работ: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кадет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«1»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кадет совсем не выполнил ни одного задания.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за практическую работу: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кадет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Оценка «1»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кадет совсем не выполнил практическую работу.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случаях оценка снижается, если кадет не соблюдал правила техники безопасности.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Контрольно-измерительные материалы составляются в соответствии с требованиями государственного стандарта по ОБЖ, уровнем облученности учащихся. Проверочные работы состоят из вопросов и заданий, соответствующих требованиям базового уровня, как по объему,  так и глубине.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учебно-методических средств обучения.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Методическая литература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 /Вангородский С.Н, Кузнецов М.И, Латчук В.Н.М.:Дрофа, 2004,2010.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ОБЖ. Терроризм и безопасность человека: учебно-методическое пособие. Миронов С.К., Латчук В.Н.,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занятия в курсе «ОБЖ» 5-9 кл. Маслов А.Г.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ОБЖ. Алкоголь, табак и наркотики - главные враги здоровья человека. Соловьев С.С.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медицинских знаний. Бубнов В.Г., Бубнова Н.В. М.: АСТ ЛТД, 1997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Медицинская помощь в ЧС. Виноградов А.В. М., 1996.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 населения в ЧС. Пособие. – М.: Зеркало, 1995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и безопасность дорожного движения. Жульнев Н.Я. – М.: Ливр, 1997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при травмах и несчастных случаях.  Мейсон Эндрю. – М.: Аргументы факты, 1998.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пожароопасного поведения. Шаров О.Е. – СПб., 1997.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Учебное пособие для преподавателей. Топоров И.К. - СПб., 1992.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доврачебная помощь: Учебное пособие. М: Просвещение, 1989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Учебник</w:t>
      </w:r>
    </w:p>
    <w:p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жизнедеятельности. 9 класс». Учебник для общеобразовательных учреждений/ А.Т. Смирнов, Б.О. Хренников, М., издательство «Просвещение», 2014 г.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</w:t>
      </w:r>
    </w:p>
    <w:tbl>
      <w:tblPr>
        <w:tblW w:w="10458" w:type="dxa"/>
        <w:tblInd w:w="-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3969"/>
      </w:tblGrid>
      <w:tr>
        <w:trPr>
          <w:trHeight w:val="420"/>
        </w:trP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сайта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Электронный адрес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Совет безопасности РФ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http://www.scrf.gov.ru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Министерство внутренних дел РФ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http://www.mvd.ru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МЧС России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http://www.emercom.gov.ru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Министерство здравоохранения и соцразвития РФ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http://www.minzdrav-rf.ru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Министерство обороны РФ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http://www.mil.ru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http://mon.gov.ru/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Министерство природных ресурсов РФ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http://www.mnr.gov.ru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http://www.fsgv.ru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http://www.mecom.ru/roshydro/pub/rus/index.htm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образовательный портал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http://www.gov.ed.ru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http://www.school.edu.ru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http://www.edu.ru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Портал компании «Кирилл и Мефодий»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http://www.km.ru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Образовательный портал «Учеба»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http://www.uroki.ru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«Курьер образования»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http://www.courier.com.ru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 «Вестник образования»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http://www.vestnik.edu.ru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Издательский дом «Профкнига»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http://www.profkniga.ru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Издательский дом «1 сентября»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http://www.1september.ru</w:t>
              </w:r>
            </w:hyperlink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http://festival.1september.ru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Энциклопедия безопасности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http://www.opasno.net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Личная безопасность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http://personal-safety.redut-7.ru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http://www.alleng.ru</w:t>
            </w:r>
          </w:p>
        </w:tc>
      </w:tr>
      <w:tr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«Мой компас» (безопасность ребёнка)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http://moikompas.ru/compas/bezopasnost_det</w:t>
            </w:r>
          </w:p>
        </w:tc>
      </w:tr>
    </w:tbl>
    <w:p>
      <w:pPr>
        <w:spacing w:after="0" w:line="240" w:lineRule="auto"/>
        <w:jc w:val="both"/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приборы</w:t>
      </w:r>
    </w:p>
    <w:tbl>
      <w:tblPr>
        <w:tblpPr w:leftFromText="180" w:rightFromText="180" w:vertAnchor="text" w:horzAnchor="page" w:tblpX="1055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701"/>
        <w:gridCol w:w="1134"/>
      </w:tblGrid>
      <w:tr>
        <w:trPr>
          <w:cantSplit/>
          <w:trHeight w:val="699"/>
        </w:trPr>
        <w:tc>
          <w:tcPr>
            <w:tcW w:w="675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Наименования инвентаря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>
        <w:trPr>
          <w:trHeight w:val="296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Столы ученические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>
        <w:trPr>
          <w:trHeight w:val="315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>
        <w:trPr>
          <w:trHeight w:val="315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учительский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96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учительский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Шкафы 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96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96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Имитатор ранений 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Тренажер сердечно-легочной и  мозговой Реанимации «Максим» 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96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Стенд «Основы гражданской обороны и защиты от чрезвычайных ситуаций»          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49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 «Защита населения в чрезвычайных ситуациях мирного и военного времени»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1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 «Правила поведения населения при чрезвычайных ситуациях техногенного характера»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1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6663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 «Действия населения при чрезвычайных ситуациях природного характера»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1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3" w:type="dxa"/>
          </w:tcPr>
          <w:p>
            <w:pPr>
              <w:pStyle w:val="c46"/>
              <w:shd w:val="clear" w:color="auto" w:fill="FFFFFF"/>
              <w:spacing w:before="0" w:beforeAutospacing="0" w:after="0" w:afterAutospacing="0"/>
              <w:ind w:left="710" w:hanging="710"/>
              <w:jc w:val="both"/>
              <w:rPr>
                <w:sz w:val="28"/>
                <w:szCs w:val="28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Плакаты «Оказание первой медицинской помощи».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1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3" w:type="dxa"/>
          </w:tcPr>
          <w:p>
            <w:pPr>
              <w:pStyle w:val="c46"/>
              <w:shd w:val="clear" w:color="auto" w:fill="FFFFFF"/>
              <w:spacing w:before="0" w:beforeAutospacing="0" w:after="0" w:afterAutospacing="0"/>
              <w:ind w:left="710" w:hanging="7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Компас.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1"/>
        </w:trPr>
        <w:tc>
          <w:tcPr>
            <w:tcW w:w="675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3" w:type="dxa"/>
          </w:tcPr>
          <w:p>
            <w:pPr>
              <w:pStyle w:val="c4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Аптечка первой медицинской помощи, шины, бинты, резиновый жгут.</w:t>
            </w:r>
          </w:p>
        </w:tc>
        <w:tc>
          <w:tcPr>
            <w:tcW w:w="1701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ФИКСИРОВАНИЯ ИЗМЕНЕНИЙ И ДОПОЛНЕНИЙ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</w:pPr>
    </w:p>
    <w:sectPr>
      <w:footerReference w:type="default" r:id="rId16"/>
      <w:pgSz w:w="11906" w:h="16838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 w15:restartNumberingAfterBreak="0">
    <w:nsid w:val="0C1666AA"/>
    <w:multiLevelType w:val="hybridMultilevel"/>
    <w:tmpl w:val="25687032"/>
    <w:lvl w:ilvl="0" w:tplc="6B0C181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57F6CEE"/>
    <w:multiLevelType w:val="hybridMultilevel"/>
    <w:tmpl w:val="F3A469FE"/>
    <w:lvl w:ilvl="0" w:tplc="00000001">
      <w:start w:val="1"/>
      <w:numFmt w:val="bullet"/>
      <w:lvlText w:val="-"/>
      <w:lvlJc w:val="left"/>
      <w:pPr>
        <w:ind w:left="916" w:hanging="360"/>
      </w:pPr>
      <w:rPr>
        <w:rFonts w:ascii="Verdana" w:hAnsi="Verdana"/>
        <w:sz w:val="28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" w15:restartNumberingAfterBreak="0">
    <w:nsid w:val="1FEB38F4"/>
    <w:multiLevelType w:val="hybridMultilevel"/>
    <w:tmpl w:val="F120F0B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Verdana" w:hAnsi="Verdana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3B9B"/>
    <w:multiLevelType w:val="hybridMultilevel"/>
    <w:tmpl w:val="B154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DB7769"/>
    <w:multiLevelType w:val="multilevel"/>
    <w:tmpl w:val="92706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6364D"/>
    <w:multiLevelType w:val="multilevel"/>
    <w:tmpl w:val="D7E03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44571"/>
    <w:multiLevelType w:val="hybridMultilevel"/>
    <w:tmpl w:val="ADF88B8A"/>
    <w:lvl w:ilvl="0" w:tplc="661470C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08B64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BA59E7"/>
    <w:multiLevelType w:val="multilevel"/>
    <w:tmpl w:val="6C54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0EA5DF-7715-4435-AF96-D8CB16B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grame">
    <w:name w:val="grame"/>
    <w:basedOn w:val="a0"/>
    <w:uiPriority w:val="99"/>
  </w:style>
  <w:style w:type="table" w:styleId="a3">
    <w:name w:val="Table Grid"/>
    <w:basedOn w:val="a1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rFonts w:cs="Calibri"/>
      <w:sz w:val="22"/>
      <w:szCs w:val="22"/>
      <w:lang w:eastAsia="en-US"/>
    </w:rPr>
  </w:style>
  <w:style w:type="paragraph" w:customStyle="1" w:styleId="c46">
    <w:name w:val="c4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</w:style>
  <w:style w:type="character" w:customStyle="1" w:styleId="c102">
    <w:name w:val="c102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</w:style>
  <w:style w:type="character" w:styleId="a8">
    <w:name w:val="Hyperlink"/>
    <w:uiPriority w:val="99"/>
    <w:semiHidden/>
    <w:unhideWhenUsed/>
    <w:rPr>
      <w:color w:val="0000FF"/>
      <w:u w:val="single"/>
    </w:rPr>
  </w:style>
  <w:style w:type="character" w:customStyle="1" w:styleId="c48">
    <w:name w:val="c48"/>
    <w:basedOn w:val="a0"/>
  </w:style>
  <w:style w:type="character" w:customStyle="1" w:styleId="c12">
    <w:name w:val="c12"/>
    <w:basedOn w:val="a0"/>
  </w:style>
  <w:style w:type="character" w:customStyle="1" w:styleId="c15">
    <w:name w:val="c1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edu.ru/&amp;sa=D&amp;ust=1535481726934000" TargetMode="External"/><Relationship Id="rId13" Type="http://schemas.openxmlformats.org/officeDocument/2006/relationships/hyperlink" Target="https://www.google.com/url?q=http://www.vestnik.edu.ru/&amp;sa=D&amp;ust=1535481726939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courier.com.ru/&amp;sa=D&amp;ust=1535481726938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uroki.ru/&amp;sa=D&amp;ust=1535481726937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1september.ru/&amp;sa=D&amp;ust=1535481726941000" TargetMode="External"/><Relationship Id="rId10" Type="http://schemas.openxmlformats.org/officeDocument/2006/relationships/hyperlink" Target="https://www.google.com/url?q=http://www.km.ru/&amp;sa=D&amp;ust=153548172693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u.ru/&amp;sa=D&amp;ust=1535481726935000" TargetMode="External"/><Relationship Id="rId14" Type="http://schemas.openxmlformats.org/officeDocument/2006/relationships/hyperlink" Target="https://www.google.com/url?q=http://www.profkniga.ru/&amp;sa=D&amp;ust=153548172694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103</cp:lastModifiedBy>
  <cp:revision>9</cp:revision>
  <cp:lastPrinted>2018-11-07T10:08:00Z</cp:lastPrinted>
  <dcterms:created xsi:type="dcterms:W3CDTF">2018-10-25T09:21:00Z</dcterms:created>
  <dcterms:modified xsi:type="dcterms:W3CDTF">2019-05-06T11:31:00Z</dcterms:modified>
</cp:coreProperties>
</file>